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AA61" w14:textId="11CDEBFC" w:rsidR="00581DFA" w:rsidRDefault="006F1F07">
      <w:r w:rsidRPr="00D94A9E">
        <w:rPr>
          <w:b/>
          <w:bCs/>
          <w:sz w:val="48"/>
          <w:szCs w:val="48"/>
        </w:rPr>
        <w:t>Servicekosten</w:t>
      </w:r>
      <w:r w:rsidRPr="006F1F07">
        <w:rPr>
          <w:b/>
          <w:bCs/>
          <w:sz w:val="32"/>
          <w:szCs w:val="32"/>
        </w:rPr>
        <w:tab/>
      </w:r>
      <w:r>
        <w:tab/>
      </w:r>
      <w:r w:rsidR="00D94A9E">
        <w:tab/>
      </w:r>
      <w:r w:rsidR="00D94A9E">
        <w:tab/>
      </w:r>
      <w:r>
        <w:tab/>
      </w:r>
      <w:r w:rsidR="00762612">
        <w:tab/>
      </w:r>
      <w:r w:rsidR="00762612">
        <w:rPr>
          <w:b/>
          <w:bCs/>
        </w:rPr>
        <w:t>Tekst</w:t>
      </w:r>
      <w:r w:rsidRPr="00D94A9E">
        <w:rPr>
          <w:b/>
          <w:bCs/>
        </w:rPr>
        <w:t xml:space="preserve">: </w:t>
      </w:r>
      <w:r w:rsidR="006701A9">
        <w:rPr>
          <w:b/>
          <w:bCs/>
        </w:rPr>
        <w:t>juni</w:t>
      </w:r>
      <w:r w:rsidRPr="00D94A9E">
        <w:rPr>
          <w:b/>
          <w:bCs/>
        </w:rPr>
        <w:t xml:space="preserve"> 2025</w:t>
      </w:r>
    </w:p>
    <w:p w14:paraId="229FF427" w14:textId="1CA237DF" w:rsidR="0060239B" w:rsidRDefault="0060239B">
      <w:r>
        <w:t xml:space="preserve">Afgelopen jaar is er veel te doen geweest over de afrekening van de servicekosten over het jaar 2023.  Het begon er mee dat Bo-Ex veel te hoge servicekosten in rekening gebracht. Ondanks dat zij hierop door het bestuur van HNW op gewezen waren, </w:t>
      </w:r>
      <w:r w:rsidR="006701A9">
        <w:t>heeft Bo-Ex</w:t>
      </w:r>
      <w:r>
        <w:t xml:space="preserve"> een foute afrekening naar de bewoners gestuurd. </w:t>
      </w:r>
    </w:p>
    <w:p w14:paraId="334E0556" w14:textId="0DBA0217" w:rsidR="0060239B" w:rsidRPr="0060239B" w:rsidRDefault="0060239B">
      <w:r>
        <w:t xml:space="preserve">Omdat er onder de bewoners veel onrust was ontstaan over de afrekening van de servicekosten, heeft het bestuur besloten om een uitgebreide uitleg </w:t>
      </w:r>
      <w:r w:rsidR="006701A9">
        <w:t xml:space="preserve">te geven </w:t>
      </w:r>
      <w:r>
        <w:t>over het proces van de afrekening van de servicekosten en de rol van het bestuur van HNW hierbij.</w:t>
      </w:r>
    </w:p>
    <w:p w14:paraId="5375509B" w14:textId="77777777" w:rsidR="006701A9" w:rsidRDefault="006701A9">
      <w:pPr>
        <w:rPr>
          <w:b/>
          <w:bCs/>
        </w:rPr>
      </w:pPr>
    </w:p>
    <w:p w14:paraId="145E900F" w14:textId="23E2EB9B" w:rsidR="00F82665" w:rsidRPr="00F82665" w:rsidRDefault="00F82665">
      <w:pPr>
        <w:rPr>
          <w:b/>
          <w:bCs/>
        </w:rPr>
      </w:pPr>
      <w:r w:rsidRPr="00F82665">
        <w:rPr>
          <w:b/>
          <w:bCs/>
        </w:rPr>
        <w:t>Wat zijn servicekosten</w:t>
      </w:r>
    </w:p>
    <w:p w14:paraId="054FD16C" w14:textId="7CF81498" w:rsidR="00F82665" w:rsidRDefault="00F82665">
      <w:r>
        <w:t>Dat zijn kosten die de verhuurder (Bo-Ex) naast de huurprijs in rekening brengt voor diensten en services die aan de huurder</w:t>
      </w:r>
      <w:r w:rsidR="00F51395">
        <w:t xml:space="preserve"> </w:t>
      </w:r>
      <w:r>
        <w:t>worden geleverd krachtens de huurovereenkomst.</w:t>
      </w:r>
    </w:p>
    <w:p w14:paraId="2E52B51B" w14:textId="211C5D54" w:rsidR="00F82665" w:rsidRDefault="00F82665">
      <w:r>
        <w:t>Die diensten en services</w:t>
      </w:r>
      <w:r w:rsidR="00C249C1">
        <w:t xml:space="preserve"> worden meestal in een bijlage bij de huurovereenkomst opgesomd en er wordt in de huurovereenkomst naar verwezen.</w:t>
      </w:r>
    </w:p>
    <w:p w14:paraId="0A5C86F6" w14:textId="0100212F" w:rsidR="00C249C1" w:rsidRDefault="00C249C1">
      <w:r>
        <w:t>De servicekosten staan in een wettelijke regeling, het ‘</w:t>
      </w:r>
      <w:r w:rsidRPr="00C249C1">
        <w:rPr>
          <w:i/>
          <w:iCs/>
        </w:rPr>
        <w:t>Besluit servicekosten’</w:t>
      </w:r>
      <w:r w:rsidR="00A11B66">
        <w:t xml:space="preserve"> </w:t>
      </w:r>
      <w:r w:rsidR="00117A3B">
        <w:t>e</w:t>
      </w:r>
      <w:r w:rsidR="00A11B66">
        <w:t xml:space="preserve">n </w:t>
      </w:r>
      <w:r w:rsidR="00117A3B">
        <w:t xml:space="preserve">in </w:t>
      </w:r>
      <w:r w:rsidR="00D24A7F">
        <w:t xml:space="preserve">diverse artikelen van </w:t>
      </w:r>
      <w:r w:rsidR="00117A3B">
        <w:t xml:space="preserve">boek 7 van het </w:t>
      </w:r>
      <w:r w:rsidR="00A11B66">
        <w:t>B</w:t>
      </w:r>
      <w:r w:rsidR="00117A3B">
        <w:t xml:space="preserve">urgerlijk </w:t>
      </w:r>
      <w:r w:rsidR="00A11B66">
        <w:t>W</w:t>
      </w:r>
      <w:r w:rsidR="00117A3B">
        <w:t>etboek (BW)</w:t>
      </w:r>
      <w:r w:rsidR="00A11B66">
        <w:t xml:space="preserve">. </w:t>
      </w:r>
      <w:r>
        <w:t xml:space="preserve"> De belangrijkste regels zijn:</w:t>
      </w:r>
    </w:p>
    <w:p w14:paraId="2E15F376" w14:textId="7F960EE8" w:rsidR="00C249C1" w:rsidRDefault="00C249C1" w:rsidP="00C127E2">
      <w:pPr>
        <w:pStyle w:val="Lijstalinea"/>
        <w:numPr>
          <w:ilvl w:val="0"/>
          <w:numId w:val="3"/>
        </w:numPr>
      </w:pPr>
      <w:r>
        <w:t>Servicekosten mogen alleen in rekening gebracht worden als ze zijn overeengekomen</w:t>
      </w:r>
    </w:p>
    <w:p w14:paraId="6AB6B8D9" w14:textId="3AC6D251" w:rsidR="00C249C1" w:rsidRDefault="00C249C1" w:rsidP="00C127E2">
      <w:pPr>
        <w:pStyle w:val="Lijstalinea"/>
        <w:numPr>
          <w:ilvl w:val="0"/>
          <w:numId w:val="3"/>
        </w:numPr>
      </w:pPr>
      <w:r>
        <w:t xml:space="preserve">Aanpassing van </w:t>
      </w:r>
      <w:r w:rsidR="00D94A9E">
        <w:t>het servicepakket</w:t>
      </w:r>
      <w:r>
        <w:t xml:space="preserve"> mag alleen met </w:t>
      </w:r>
      <w:r w:rsidR="00D94A9E">
        <w:t>instemming van tenminste 70% van de huurders</w:t>
      </w:r>
    </w:p>
    <w:p w14:paraId="2515D92D" w14:textId="787F46F6" w:rsidR="00D94A9E" w:rsidRDefault="00D94A9E" w:rsidP="00C127E2">
      <w:pPr>
        <w:pStyle w:val="Lijstalinea"/>
        <w:numPr>
          <w:ilvl w:val="0"/>
          <w:numId w:val="3"/>
        </w:numPr>
      </w:pPr>
      <w:r>
        <w:t>De verhuurder mag via de servicekosten geen werkzaamheden doorberekenen die tot de plichten als verhuurder behoren</w:t>
      </w:r>
    </w:p>
    <w:p w14:paraId="0BC3B3C2" w14:textId="66642A2F" w:rsidR="00D94A9E" w:rsidRDefault="00D94A9E" w:rsidP="00C127E2">
      <w:pPr>
        <w:pStyle w:val="Lijstalinea"/>
        <w:numPr>
          <w:ilvl w:val="0"/>
          <w:numId w:val="3"/>
        </w:numPr>
      </w:pPr>
      <w:r>
        <w:t>De verhuurder mag alleen de werkelijk gemaakte en redelijke kosten in rekening brengen.</w:t>
      </w:r>
      <w:r w:rsidR="000354CF">
        <w:t xml:space="preserve"> </w:t>
      </w:r>
      <w:r w:rsidR="003E2633">
        <w:t>Daarbij maakt het niet uit of je een sociale huurwoning huurt of een woning in de vrije sector</w:t>
      </w:r>
    </w:p>
    <w:p w14:paraId="3B22F39B" w14:textId="040AAB87" w:rsidR="003E2633" w:rsidRDefault="003E2633" w:rsidP="003E2633">
      <w:r>
        <w:t>Servicekosten die de Bo-Ex in onze complex in rekening brengt zijn:</w:t>
      </w:r>
    </w:p>
    <w:p w14:paraId="070B2D9B" w14:textId="3135F275" w:rsidR="003E2633" w:rsidRDefault="003E2633" w:rsidP="003E2633">
      <w:pPr>
        <w:pStyle w:val="Lijstalinea"/>
        <w:numPr>
          <w:ilvl w:val="0"/>
          <w:numId w:val="2"/>
        </w:numPr>
      </w:pPr>
      <w:r>
        <w:t>Schoonmaakkosten</w:t>
      </w:r>
    </w:p>
    <w:p w14:paraId="7CEE1B0D" w14:textId="573518E4" w:rsidR="003E2633" w:rsidRDefault="003E2633" w:rsidP="003E2633">
      <w:pPr>
        <w:pStyle w:val="Lijstalinea"/>
        <w:numPr>
          <w:ilvl w:val="0"/>
          <w:numId w:val="2"/>
        </w:numPr>
      </w:pPr>
      <w:r>
        <w:t>Gla</w:t>
      </w:r>
      <w:r w:rsidR="000B79BF">
        <w:t>sbewassing (glazenwasser)</w:t>
      </w:r>
    </w:p>
    <w:p w14:paraId="0B5A055B" w14:textId="571DE704" w:rsidR="000B79BF" w:rsidRDefault="000B79BF" w:rsidP="003E2633">
      <w:pPr>
        <w:pStyle w:val="Lijstalinea"/>
        <w:numPr>
          <w:ilvl w:val="0"/>
          <w:numId w:val="2"/>
        </w:numPr>
      </w:pPr>
      <w:r>
        <w:t xml:space="preserve">Elektra </w:t>
      </w:r>
      <w:r w:rsidR="00AD721F">
        <w:t xml:space="preserve">en verlichting </w:t>
      </w:r>
      <w:r>
        <w:t xml:space="preserve">in </w:t>
      </w:r>
      <w:r w:rsidR="00323153">
        <w:t>portieken</w:t>
      </w:r>
      <w:r w:rsidR="000354CF">
        <w:t xml:space="preserve"> en het</w:t>
      </w:r>
      <w:r>
        <w:t xml:space="preserve"> gangpad</w:t>
      </w:r>
    </w:p>
    <w:p w14:paraId="1F07959F" w14:textId="7F2D61E4" w:rsidR="000B79BF" w:rsidRDefault="000B79BF" w:rsidP="003E2633">
      <w:pPr>
        <w:pStyle w:val="Lijstalinea"/>
        <w:numPr>
          <w:ilvl w:val="0"/>
          <w:numId w:val="2"/>
        </w:numPr>
      </w:pPr>
      <w:r>
        <w:t>Ontstoppingsbijdrage</w:t>
      </w:r>
      <w:r w:rsidR="000B39E8">
        <w:t xml:space="preserve"> (Rioolfonds)</w:t>
      </w:r>
    </w:p>
    <w:p w14:paraId="14A35F17" w14:textId="0F5480BD" w:rsidR="000B79BF" w:rsidRDefault="000B79BF" w:rsidP="003E2633">
      <w:pPr>
        <w:pStyle w:val="Lijstalinea"/>
        <w:numPr>
          <w:ilvl w:val="0"/>
          <w:numId w:val="2"/>
        </w:numPr>
      </w:pPr>
      <w:r>
        <w:t>Glasbreuk (Glasfonds)</w:t>
      </w:r>
    </w:p>
    <w:p w14:paraId="7E78DE92" w14:textId="7A4B17CC" w:rsidR="000B79BF" w:rsidRDefault="000B79BF" w:rsidP="003E2633">
      <w:pPr>
        <w:pStyle w:val="Lijstalinea"/>
        <w:numPr>
          <w:ilvl w:val="0"/>
          <w:numId w:val="2"/>
        </w:numPr>
      </w:pPr>
      <w:r>
        <w:t>Zonnepanelen</w:t>
      </w:r>
    </w:p>
    <w:p w14:paraId="1353FDF0" w14:textId="49866229" w:rsidR="00247450" w:rsidRDefault="00247450" w:rsidP="003E2633">
      <w:pPr>
        <w:pStyle w:val="Lijstalinea"/>
        <w:numPr>
          <w:ilvl w:val="0"/>
          <w:numId w:val="2"/>
        </w:numPr>
      </w:pPr>
      <w:r>
        <w:t>Serviceabonnement</w:t>
      </w:r>
    </w:p>
    <w:p w14:paraId="259C541E" w14:textId="77777777" w:rsidR="006701A9" w:rsidRDefault="006701A9" w:rsidP="003E2633">
      <w:pPr>
        <w:rPr>
          <w:b/>
          <w:bCs/>
        </w:rPr>
      </w:pPr>
    </w:p>
    <w:p w14:paraId="6E7D63C8" w14:textId="56A22618" w:rsidR="003E2633" w:rsidRDefault="003E2633" w:rsidP="003E2633">
      <w:pPr>
        <w:rPr>
          <w:b/>
          <w:bCs/>
        </w:rPr>
      </w:pPr>
      <w:r w:rsidRPr="003E2633">
        <w:rPr>
          <w:b/>
          <w:bCs/>
        </w:rPr>
        <w:t>Afrekening servicekosten</w:t>
      </w:r>
    </w:p>
    <w:p w14:paraId="209B07BC" w14:textId="44BE3335" w:rsidR="00A11B66" w:rsidRDefault="00752DF9" w:rsidP="003E2633">
      <w:r>
        <w:t>S</w:t>
      </w:r>
      <w:r w:rsidR="000B39E8">
        <w:t xml:space="preserve">ervicekosten worden maandelijks bij wijze van een </w:t>
      </w:r>
      <w:r w:rsidR="000B39E8" w:rsidRPr="00A11B66">
        <w:rPr>
          <w:i/>
          <w:iCs/>
        </w:rPr>
        <w:t>voorschot</w:t>
      </w:r>
      <w:r w:rsidR="000B39E8">
        <w:t xml:space="preserve"> in rekening </w:t>
      </w:r>
      <w:r w:rsidR="00A11B66">
        <w:t>gebracht, samen met de (kale) huur. De servicekosten die hierboven genoemd zijn</w:t>
      </w:r>
      <w:r w:rsidR="0056678D">
        <w:t>,</w:t>
      </w:r>
      <w:r w:rsidR="00A11B66">
        <w:t xml:space="preserve"> </w:t>
      </w:r>
      <w:r w:rsidR="0056678D">
        <w:t>zijn te verdelen</w:t>
      </w:r>
      <w:r w:rsidR="00A11B66">
        <w:t xml:space="preserve"> in 3 </w:t>
      </w:r>
      <w:r w:rsidR="0056678D">
        <w:t>groepen</w:t>
      </w:r>
      <w:r w:rsidR="00A11B66">
        <w:t>:</w:t>
      </w:r>
    </w:p>
    <w:p w14:paraId="2EA73030" w14:textId="58B3472D" w:rsidR="00A11B66" w:rsidRDefault="00A11B66" w:rsidP="00A11B66">
      <w:pPr>
        <w:pStyle w:val="Lijstalinea"/>
        <w:numPr>
          <w:ilvl w:val="0"/>
          <w:numId w:val="2"/>
        </w:numPr>
      </w:pPr>
      <w:r>
        <w:t xml:space="preserve">Kosten die jaarlijks worden </w:t>
      </w:r>
      <w:r w:rsidRPr="00C37AAD">
        <w:rPr>
          <w:i/>
          <w:iCs/>
        </w:rPr>
        <w:t>afgerekend</w:t>
      </w:r>
      <w:r w:rsidR="00AD721F">
        <w:t xml:space="preserve"> (Schoonmaak, glazenwasser, elektra)</w:t>
      </w:r>
    </w:p>
    <w:p w14:paraId="7801C68E" w14:textId="6B681E2F" w:rsidR="00A11B66" w:rsidRDefault="00A11B66" w:rsidP="00A11B66">
      <w:pPr>
        <w:pStyle w:val="Lijstalinea"/>
        <w:numPr>
          <w:ilvl w:val="0"/>
          <w:numId w:val="2"/>
        </w:numPr>
      </w:pPr>
      <w:r>
        <w:t>Fondsen</w:t>
      </w:r>
      <w:r w:rsidR="00AD721F">
        <w:t xml:space="preserve"> (Riool</w:t>
      </w:r>
      <w:r w:rsidR="000354CF">
        <w:t>,</w:t>
      </w:r>
      <w:r w:rsidR="00AD721F">
        <w:t xml:space="preserve"> Glas)</w:t>
      </w:r>
    </w:p>
    <w:p w14:paraId="07D5C126" w14:textId="35A3577A" w:rsidR="00A11B66" w:rsidRDefault="00AD721F" w:rsidP="00A11B66">
      <w:pPr>
        <w:pStyle w:val="Lijstalinea"/>
        <w:numPr>
          <w:ilvl w:val="0"/>
          <w:numId w:val="2"/>
        </w:numPr>
      </w:pPr>
      <w:r>
        <w:t>Gebruiksvergoeding (Zonnepanelen)</w:t>
      </w:r>
    </w:p>
    <w:p w14:paraId="3E770F10" w14:textId="30C8FA28" w:rsidR="00752DF9" w:rsidRDefault="00752DF9" w:rsidP="00752DF9">
      <w:r>
        <w:lastRenderedPageBreak/>
        <w:t xml:space="preserve">De verhuurder is wettelijk verplicht na afloop van het (boek)jaar </w:t>
      </w:r>
      <w:r w:rsidR="00FF6486">
        <w:t xml:space="preserve">aan elke huurder een </w:t>
      </w:r>
      <w:r w:rsidR="00257219">
        <w:t>overzicht</w:t>
      </w:r>
      <w:r w:rsidR="00FF6486">
        <w:t xml:space="preserve"> te verstrekken van de gemaakte servicekosten en wel vóór 1 juli van het kalenderjaar dat volgt op het kalenderjaar waarop de afrekening betrekking heeft.</w:t>
      </w:r>
    </w:p>
    <w:p w14:paraId="5E5CE32D" w14:textId="77777777" w:rsidR="005346F0" w:rsidRDefault="00FF6486" w:rsidP="00752DF9">
      <w:r>
        <w:t xml:space="preserve">Voor de servicekosten die worden </w:t>
      </w:r>
      <w:r w:rsidRPr="005346F0">
        <w:rPr>
          <w:i/>
          <w:iCs/>
        </w:rPr>
        <w:t>afgerekend</w:t>
      </w:r>
      <w:r>
        <w:t xml:space="preserve"> betekent het dat de betaalde voorschotten worden </w:t>
      </w:r>
      <w:r w:rsidR="005346F0">
        <w:t>verrekend met de werkelijk gemaakte kosten. Je moet dan eventueel bijbetalen of je krijgt geld terug.</w:t>
      </w:r>
    </w:p>
    <w:p w14:paraId="4B6C32CE" w14:textId="09AD31BA" w:rsidR="00FF6486" w:rsidRDefault="005346F0" w:rsidP="00752DF9">
      <w:r>
        <w:t xml:space="preserve">De fondsen en gebruiksvergoedingen worden niet afgerekend. In een volgende periode </w:t>
      </w:r>
      <w:r w:rsidR="00E970B0">
        <w:t xml:space="preserve">(jaar) </w:t>
      </w:r>
      <w:r>
        <w:t xml:space="preserve">zou de bijdrage aan een fonds wel verhoogd of eventueel verlaagd kunnen worden. Een gebruiksvergoeding is in het algemeen gebaseerd op de aanschafprijs en </w:t>
      </w:r>
      <w:r w:rsidR="006431DC">
        <w:t>de</w:t>
      </w:r>
      <w:r>
        <w:t xml:space="preserve"> verwachte levensduur van het ‘roerend goed’ (zonnepaneel) en </w:t>
      </w:r>
      <w:r w:rsidR="00E970B0">
        <w:t>ligt</w:t>
      </w:r>
      <w:r>
        <w:t xml:space="preserve"> daarom </w:t>
      </w:r>
      <w:r w:rsidR="00E970B0">
        <w:t>meestal voor langere tijd vast.</w:t>
      </w:r>
    </w:p>
    <w:p w14:paraId="07F58183" w14:textId="77777777" w:rsidR="002D2D32" w:rsidRDefault="002D2D32" w:rsidP="00752DF9">
      <w:pPr>
        <w:rPr>
          <w:b/>
          <w:bCs/>
        </w:rPr>
      </w:pPr>
    </w:p>
    <w:p w14:paraId="59A84DCA" w14:textId="7AF78F49" w:rsidR="00067D94" w:rsidRPr="00067D94" w:rsidRDefault="00067D94" w:rsidP="00752DF9">
      <w:pPr>
        <w:rPr>
          <w:b/>
          <w:bCs/>
        </w:rPr>
      </w:pPr>
      <w:r w:rsidRPr="00067D94">
        <w:rPr>
          <w:b/>
          <w:bCs/>
        </w:rPr>
        <w:t>De rol van HNW</w:t>
      </w:r>
    </w:p>
    <w:p w14:paraId="56914659" w14:textId="50653A88" w:rsidR="00802E31" w:rsidRDefault="00802E31" w:rsidP="003E2633">
      <w:r>
        <w:t>Als bewonersvereniging heeft HNW op grond van de Overlegwet een drietal rechten:</w:t>
      </w:r>
    </w:p>
    <w:p w14:paraId="076DAD98" w14:textId="4F60E679" w:rsidR="00802E31" w:rsidRDefault="00802E31" w:rsidP="00802E31">
      <w:pPr>
        <w:pStyle w:val="Lijstalinea"/>
        <w:numPr>
          <w:ilvl w:val="0"/>
          <w:numId w:val="2"/>
        </w:numPr>
      </w:pPr>
      <w:r>
        <w:t>Recht op informatie</w:t>
      </w:r>
    </w:p>
    <w:p w14:paraId="040D1A3F" w14:textId="50E7F764" w:rsidR="00802E31" w:rsidRDefault="00802E31" w:rsidP="00802E31">
      <w:pPr>
        <w:pStyle w:val="Lijstalinea"/>
        <w:numPr>
          <w:ilvl w:val="0"/>
          <w:numId w:val="2"/>
        </w:numPr>
      </w:pPr>
      <w:r>
        <w:t>Recht op overleg</w:t>
      </w:r>
    </w:p>
    <w:p w14:paraId="24B54436" w14:textId="54E9BF78" w:rsidR="00802E31" w:rsidRDefault="00802E31" w:rsidP="00802E31">
      <w:pPr>
        <w:pStyle w:val="Lijstalinea"/>
        <w:numPr>
          <w:ilvl w:val="0"/>
          <w:numId w:val="2"/>
        </w:numPr>
      </w:pPr>
      <w:r>
        <w:t>Recht op advies</w:t>
      </w:r>
    </w:p>
    <w:p w14:paraId="0083E2A5" w14:textId="28474E28" w:rsidR="003E2633" w:rsidRDefault="002D2D32" w:rsidP="003E2633">
      <w:r>
        <w:t xml:space="preserve">Elk jaar (vóór 1 juli) geeft Bo-Ex HNW </w:t>
      </w:r>
      <w:r w:rsidR="00792DB3">
        <w:t xml:space="preserve">vooraf </w:t>
      </w:r>
      <w:r>
        <w:t>inzage in de servicekosten die worden afgerekend. In het verleden werd ook de stand van zaken van de fondsen gegeven, maar sinds een aantal jaren gebeurt dat niet meer.</w:t>
      </w:r>
    </w:p>
    <w:p w14:paraId="72EEEDA2" w14:textId="00C074EF" w:rsidR="002D2D32" w:rsidRDefault="002D2D32" w:rsidP="003E2633">
      <w:r>
        <w:t xml:space="preserve">Naast een samenvatting van de werkelijke servicekosten en een vergelijking van die kosten ten opzichte van </w:t>
      </w:r>
      <w:r w:rsidR="00C37AAD">
        <w:t>het</w:t>
      </w:r>
      <w:r>
        <w:t xml:space="preserve"> jaar </w:t>
      </w:r>
      <w:r w:rsidR="00C37AAD">
        <w:t>daarvoo</w:t>
      </w:r>
      <w:r>
        <w:t xml:space="preserve">r, verstrekt Bo-Ex ook </w:t>
      </w:r>
      <w:r w:rsidR="00C23164">
        <w:t>specificaties van de servicekosten in de vorm van facturen, werkopdrachten en uitdraaien uit de eigen administratie.</w:t>
      </w:r>
    </w:p>
    <w:p w14:paraId="33207D72" w14:textId="300B4350" w:rsidR="00C23164" w:rsidRDefault="00C23164" w:rsidP="003E2633">
      <w:r>
        <w:t>HNW toetst de overzichten van Bo-Ex aan de meegestuurde specificaties</w:t>
      </w:r>
      <w:r w:rsidR="005463D4">
        <w:t xml:space="preserve"> en aan de kosten ten opzichte van het voorgaande jaar</w:t>
      </w:r>
      <w:r>
        <w:t xml:space="preserve">, vraagt aanvullende gegevens op waar nodig en bewaakt </w:t>
      </w:r>
      <w:r w:rsidR="005463D4">
        <w:t xml:space="preserve">de </w:t>
      </w:r>
      <w:r>
        <w:t>afspra</w:t>
      </w:r>
      <w:r w:rsidR="005463D4">
        <w:t>a</w:t>
      </w:r>
      <w:r>
        <w:t xml:space="preserve">k die gemaakt </w:t>
      </w:r>
      <w:r w:rsidR="005463D4">
        <w:t>is</w:t>
      </w:r>
      <w:r>
        <w:t xml:space="preserve"> </w:t>
      </w:r>
      <w:r w:rsidR="00007847">
        <w:t>over</w:t>
      </w:r>
      <w:r w:rsidR="005463D4">
        <w:t xml:space="preserve"> het stroomverbruik van het bestuursgebouwtje </w:t>
      </w:r>
      <w:r w:rsidR="002E2C3F">
        <w:t>Rembrandtkade</w:t>
      </w:r>
      <w:r w:rsidR="005463D4">
        <w:t xml:space="preserve"> 59a</w:t>
      </w:r>
      <w:r>
        <w:t>.</w:t>
      </w:r>
      <w:r w:rsidR="00ED1CBD">
        <w:t xml:space="preserve"> Als alles nagerekend is en eventuele fouten of onduidelijkheden uit de weg zijn geruimd, volgt norma</w:t>
      </w:r>
      <w:r w:rsidR="00F64967">
        <w:t>al gesproken</w:t>
      </w:r>
      <w:r w:rsidR="00ED1CBD">
        <w:t xml:space="preserve"> vanuit HNW een ‘verklaring van geen bezwaar’ </w:t>
      </w:r>
      <w:r w:rsidR="00286F1D">
        <w:t xml:space="preserve">in de vorm van een E-mail </w:t>
      </w:r>
      <w:r w:rsidR="00ED1CBD">
        <w:t>richting wijkconsulent van Bo-Ex.</w:t>
      </w:r>
    </w:p>
    <w:p w14:paraId="45AE0E73" w14:textId="2807D916" w:rsidR="00700C2B" w:rsidRDefault="00700C2B" w:rsidP="003E2633">
      <w:r>
        <w:t xml:space="preserve">Het is van belang te weten dat </w:t>
      </w:r>
      <w:r w:rsidRPr="00700C2B">
        <w:rPr>
          <w:b/>
          <w:bCs/>
        </w:rPr>
        <w:t>elke huurder</w:t>
      </w:r>
      <w:r>
        <w:t xml:space="preserve"> recht heeft op inzage in de afrekening van de servicekosten en daartegen </w:t>
      </w:r>
      <w:r w:rsidR="00102067">
        <w:t xml:space="preserve">eventueel </w:t>
      </w:r>
      <w:r>
        <w:t xml:space="preserve">ook bezwaar kan maken. HNW en Bo-Ex maken géén afspraken over de </w:t>
      </w:r>
      <w:r w:rsidR="0056678D">
        <w:t>inhoud</w:t>
      </w:r>
      <w:r>
        <w:t xml:space="preserve"> van </w:t>
      </w:r>
      <w:r w:rsidR="005463D4">
        <w:t>het servicepakket</w:t>
      </w:r>
      <w:r>
        <w:t xml:space="preserve"> en de hoogte van de kosten</w:t>
      </w:r>
      <w:r w:rsidR="005463D4">
        <w:t xml:space="preserve"> van dat pakket</w:t>
      </w:r>
      <w:r>
        <w:t xml:space="preserve">. Over de kwaliteit van </w:t>
      </w:r>
      <w:r w:rsidR="00FA1A9C">
        <w:t xml:space="preserve">de </w:t>
      </w:r>
      <w:r>
        <w:t xml:space="preserve">dienstverlening is HNW </w:t>
      </w:r>
      <w:r w:rsidR="00511319">
        <w:t xml:space="preserve">geregeld </w:t>
      </w:r>
      <w:r>
        <w:t xml:space="preserve">in </w:t>
      </w:r>
      <w:r w:rsidR="00117A3B">
        <w:t>gesprek</w:t>
      </w:r>
      <w:r>
        <w:t xml:space="preserve"> met Bo-Ex, maar dat staat los van de </w:t>
      </w:r>
      <w:r w:rsidRPr="00EF12FD">
        <w:t>kosten</w:t>
      </w:r>
      <w:r>
        <w:t xml:space="preserve"> </w:t>
      </w:r>
      <w:r w:rsidR="00AC2D2F">
        <w:t xml:space="preserve">en de afrekening </w:t>
      </w:r>
      <w:r w:rsidR="003409EA">
        <w:t>e</w:t>
      </w:r>
      <w:r>
        <w:t>rvan.</w:t>
      </w:r>
    </w:p>
    <w:p w14:paraId="27A1004C" w14:textId="5D1ABAFF" w:rsidR="00ED1CBD" w:rsidRDefault="007D5498" w:rsidP="003E2633">
      <w:pPr>
        <w:rPr>
          <w:b/>
          <w:bCs/>
        </w:rPr>
      </w:pPr>
      <w:r>
        <w:rPr>
          <w:b/>
          <w:bCs/>
        </w:rPr>
        <w:t>Afrekening in de praktijk</w:t>
      </w:r>
    </w:p>
    <w:p w14:paraId="2138FCD2" w14:textId="01888F0F" w:rsidR="00ED1CBD" w:rsidRDefault="00007847" w:rsidP="003E2633">
      <w:r>
        <w:t>We</w:t>
      </w:r>
      <w:r w:rsidR="00700C2B">
        <w:t xml:space="preserve"> behandelen</w:t>
      </w:r>
      <w:r>
        <w:t xml:space="preserve"> hier</w:t>
      </w:r>
      <w:r w:rsidR="00700C2B">
        <w:t xml:space="preserve"> alleen de hoofdlijnen. </w:t>
      </w:r>
      <w:r w:rsidR="003409EA">
        <w:t xml:space="preserve">Voor </w:t>
      </w:r>
      <w:r w:rsidR="00AC2D2F">
        <w:t xml:space="preserve">klachten over de dienstverlening en </w:t>
      </w:r>
      <w:r w:rsidR="003409EA">
        <w:t>veel vragen over servicekosten</w:t>
      </w:r>
      <w:r w:rsidR="00AC2D2F">
        <w:t xml:space="preserve"> </w:t>
      </w:r>
      <w:r w:rsidR="003409EA">
        <w:t xml:space="preserve">moet </w:t>
      </w:r>
      <w:r w:rsidR="00286F1D">
        <w:t>je</w:t>
      </w:r>
      <w:r w:rsidR="003409EA">
        <w:t xml:space="preserve"> in eerste instantie bij de verhuurder zijn. HNW is uiteraard voor advies en nadere toelichting bereikbaar via </w:t>
      </w:r>
      <w:r w:rsidR="00302D65" w:rsidRPr="00823E1E">
        <w:rPr>
          <w:u w:val="single"/>
        </w:rPr>
        <w:t>bestuur@hetnieuwewoonhuis.nl</w:t>
      </w:r>
      <w:r w:rsidRPr="00823E1E">
        <w:t xml:space="preserve"> </w:t>
      </w:r>
      <w:r>
        <w:t>of via een briefje op</w:t>
      </w:r>
      <w:r w:rsidR="00AC2D2F">
        <w:t xml:space="preserve"> </w:t>
      </w:r>
      <w:r w:rsidR="002E2C3F">
        <w:t>Rembrandtkade</w:t>
      </w:r>
      <w:r>
        <w:t xml:space="preserve"> 59a.</w:t>
      </w:r>
    </w:p>
    <w:p w14:paraId="2F36D355" w14:textId="5D3F6E0A" w:rsidR="00007847" w:rsidRDefault="00007847" w:rsidP="003E2633">
      <w:r>
        <w:t xml:space="preserve">De kosten die Bo-Ex maakt voor de services worden </w:t>
      </w:r>
      <w:r w:rsidR="00FA1A9C">
        <w:t>aan</w:t>
      </w:r>
      <w:r>
        <w:t xml:space="preserve"> de huurders doorbelast inclusief BTW (9% of 21%). Voor het maken van de afrekening van de servicekosten rekent Bo-Ex </w:t>
      </w:r>
      <w:r w:rsidR="001E0560">
        <w:t>aan de huurder</w:t>
      </w:r>
      <w:r w:rsidR="009B1C0A">
        <w:t>s</w:t>
      </w:r>
      <w:r w:rsidR="001E0560">
        <w:t xml:space="preserve"> </w:t>
      </w:r>
      <w:r>
        <w:t xml:space="preserve">de toegestane maximale opslag van 5% </w:t>
      </w:r>
      <w:r w:rsidR="001E0560">
        <w:t xml:space="preserve">door </w:t>
      </w:r>
      <w:r>
        <w:t>als ‘administratiekosten’.</w:t>
      </w:r>
    </w:p>
    <w:p w14:paraId="42662013" w14:textId="1D53C187" w:rsidR="00FB5558" w:rsidRDefault="00FB5558" w:rsidP="003E2633">
      <w:r>
        <w:lastRenderedPageBreak/>
        <w:t xml:space="preserve">Administratief zijn onze woningen gesplitst in 2 </w:t>
      </w:r>
      <w:r w:rsidR="0056678D">
        <w:t>clusters</w:t>
      </w:r>
      <w:r>
        <w:t xml:space="preserve"> (575 = </w:t>
      </w:r>
      <w:r w:rsidR="002E2C3F">
        <w:t>Albert Neuhuijsstraat</w:t>
      </w:r>
      <w:r>
        <w:t xml:space="preserve"> en 576 = </w:t>
      </w:r>
      <w:r w:rsidR="002E2C3F">
        <w:t>Rembrandtkade</w:t>
      </w:r>
      <w:r>
        <w:t>)</w:t>
      </w:r>
      <w:r w:rsidR="00F50BC9">
        <w:t xml:space="preserve">. Aan de </w:t>
      </w:r>
      <w:r w:rsidR="002E2C3F">
        <w:t>Albert Neuhuijsstraat</w:t>
      </w:r>
      <w:r w:rsidR="00F50BC9">
        <w:t xml:space="preserve"> zijn 6 portieken oftewel 36 woningen en op de </w:t>
      </w:r>
      <w:r w:rsidR="002E2C3F">
        <w:t>Rembrandtkade</w:t>
      </w:r>
      <w:r w:rsidR="00F50BC9">
        <w:t xml:space="preserve"> 8 portieken oftewel 48 woningen. Totaal zijn er 84 woningen, al dan niet in bewoonde staat.</w:t>
      </w:r>
    </w:p>
    <w:p w14:paraId="20867498" w14:textId="64F82F87" w:rsidR="00DC17A9" w:rsidRDefault="00DC17A9" w:rsidP="003E2633">
      <w:r>
        <w:t xml:space="preserve">We geven een </w:t>
      </w:r>
      <w:r w:rsidRPr="008F6978">
        <w:t>rekenvoorbeeld</w:t>
      </w:r>
      <w:r>
        <w:t xml:space="preserve"> aan de hand van de afrekening over </w:t>
      </w:r>
      <w:r w:rsidRPr="008F6978">
        <w:rPr>
          <w:b/>
          <w:bCs/>
        </w:rPr>
        <w:t>2023</w:t>
      </w:r>
      <w:r>
        <w:t>:</w:t>
      </w:r>
    </w:p>
    <w:p w14:paraId="0AE2E8F3" w14:textId="044601C9" w:rsidR="00DC17A9" w:rsidRDefault="00DC17A9" w:rsidP="003E2633">
      <w:r>
        <w:t xml:space="preserve">De schoonmaakkosten voor de </w:t>
      </w:r>
      <w:r w:rsidR="002E2C3F">
        <w:t>Rembrandtkade</w:t>
      </w:r>
      <w:r>
        <w:t xml:space="preserve"> waren </w:t>
      </w:r>
      <w:r w:rsidRPr="008F6978">
        <w:rPr>
          <w:b/>
          <w:bCs/>
        </w:rPr>
        <w:t>12.534</w:t>
      </w:r>
      <w:r>
        <w:t xml:space="preserve"> euro en voor de </w:t>
      </w:r>
      <w:r w:rsidR="002E2C3F">
        <w:t>Albert Neuhuijsstraat</w:t>
      </w:r>
      <w:r>
        <w:t xml:space="preserve"> </w:t>
      </w:r>
      <w:r w:rsidRPr="008F6978">
        <w:rPr>
          <w:b/>
          <w:bCs/>
        </w:rPr>
        <w:t>9.400</w:t>
      </w:r>
      <w:r>
        <w:t xml:space="preserve"> euro.</w:t>
      </w:r>
    </w:p>
    <w:p w14:paraId="728F9133" w14:textId="2DB75FBC" w:rsidR="00DC17A9" w:rsidRDefault="00DC17A9" w:rsidP="003E2633">
      <w:r>
        <w:t xml:space="preserve">Een bewoner aan de </w:t>
      </w:r>
      <w:r w:rsidR="002E2C3F">
        <w:t>Rembrandtkade</w:t>
      </w:r>
      <w:r>
        <w:t xml:space="preserve"> betaalt (op jaarbasis) dan 1/48 deel = </w:t>
      </w:r>
      <w:r w:rsidRPr="008F6978">
        <w:rPr>
          <w:b/>
          <w:bCs/>
        </w:rPr>
        <w:t>261,12</w:t>
      </w:r>
      <w:r>
        <w:t xml:space="preserve"> en een bewoner aan de </w:t>
      </w:r>
      <w:r w:rsidR="002E2C3F">
        <w:t>Albert Neuhuijsstraat</w:t>
      </w:r>
      <w:r>
        <w:t xml:space="preserve"> 1/36 deel = eveneens </w:t>
      </w:r>
      <w:r w:rsidRPr="008F6978">
        <w:rPr>
          <w:b/>
          <w:bCs/>
        </w:rPr>
        <w:t>261,12</w:t>
      </w:r>
      <w:r>
        <w:t>.</w:t>
      </w:r>
      <w:r w:rsidR="008F6978">
        <w:t xml:space="preserve"> </w:t>
      </w:r>
      <w:r w:rsidR="00F51395">
        <w:t>Iemand</w:t>
      </w:r>
      <w:r w:rsidR="008F6978">
        <w:t xml:space="preserve"> die niet het hele jaar in </w:t>
      </w:r>
      <w:r w:rsidR="00AC63B0">
        <w:t>de</w:t>
      </w:r>
      <w:r w:rsidR="008F6978">
        <w:t xml:space="preserve"> woning heeft gewoond betaalt de kosten naar rato van de woonduur. De kosten worden verrekend met de betaalde voorschotten in 2023. Die voorschotten zitten in het bedrag dat je maandelijks aan de Bo-Ex overmaakt. Het saldo kosten minus voorschotten moet je bijbetalen of krijg je terug.</w:t>
      </w:r>
    </w:p>
    <w:p w14:paraId="0C88E133" w14:textId="43570C0C" w:rsidR="008F6978" w:rsidRDefault="008F6978" w:rsidP="003E2633">
      <w:r>
        <w:t xml:space="preserve">Servicekosten die gemaakt zijn voor een leegstaande woning mogen niet aan de ‘zittende’ huurders in rekening worden gebracht en zijn dus </w:t>
      </w:r>
      <w:r w:rsidR="0031363E">
        <w:t>voor rekening van Bo-Ex. Uit het voorbeeld hierboven blijkt dat ook: je betaalt 1/36 (</w:t>
      </w:r>
      <w:r w:rsidR="002E2C3F">
        <w:t>Albert Neuhuijsstraat</w:t>
      </w:r>
      <w:r w:rsidR="0031363E">
        <w:t>) of 1/48 deel (</w:t>
      </w:r>
      <w:r w:rsidR="002E2C3F">
        <w:t>Rembrandtkade</w:t>
      </w:r>
      <w:r w:rsidR="0031363E">
        <w:t>) van de kosten, niet méér.</w:t>
      </w:r>
    </w:p>
    <w:p w14:paraId="485A881F" w14:textId="60039011" w:rsidR="0056678D" w:rsidRDefault="0056678D" w:rsidP="0056678D">
      <w:r>
        <w:t xml:space="preserve">Met de servicekosten van elektra </w:t>
      </w:r>
      <w:r w:rsidR="006701A9">
        <w:t xml:space="preserve">(verlichting portieken en brandgang, stroom voor de poorten en vervangen van de lampen) </w:t>
      </w:r>
      <w:r>
        <w:t>is iets bijzonders aan de hand.</w:t>
      </w:r>
      <w:r w:rsidR="006701A9">
        <w:t xml:space="preserve"> </w:t>
      </w:r>
    </w:p>
    <w:p w14:paraId="378C3C3F" w14:textId="3140F7CF" w:rsidR="0056678D" w:rsidRDefault="0056678D" w:rsidP="0056678D">
      <w:r>
        <w:t xml:space="preserve">In de huurovereenkomsten </w:t>
      </w:r>
      <w:r w:rsidRPr="009F496E">
        <w:rPr>
          <w:b/>
          <w:bCs/>
        </w:rPr>
        <w:t>tot 200</w:t>
      </w:r>
      <w:r>
        <w:rPr>
          <w:b/>
          <w:bCs/>
        </w:rPr>
        <w:t>8</w:t>
      </w:r>
      <w:r>
        <w:t xml:space="preserve"> is elektra niet opgenomen in de opsomming van de diensten waarvoor servicekosten moeten worden betaald. Na 2009 is dit door Bo-Ex aangepast en is elektra wél opgenomen in de lijst van services bij </w:t>
      </w:r>
      <w:r w:rsidR="006701A9">
        <w:t>nieuwe</w:t>
      </w:r>
      <w:r>
        <w:t xml:space="preserve"> huurcontract</w:t>
      </w:r>
      <w:r w:rsidR="006701A9">
        <w:t>en</w:t>
      </w:r>
      <w:r>
        <w:t xml:space="preserve">. De situatie in ons complex is nu (met de afrekening over 2023) dat ongeveer de helft van de bewoners wél en de helft niet voor elektra betaalt via de servicekosten. De Bo-Ex mag de misgelopen stroomkosten </w:t>
      </w:r>
      <w:r w:rsidRPr="006B0F65">
        <w:t>niet verhalen</w:t>
      </w:r>
      <w:r>
        <w:t xml:space="preserve"> op de bewoners die wel betalen voor de elektra. Bo-Ex betaalt die kosten dus zelf. In de toekomst betalen alle (nieuwe) bewoners voor stroom via de servicekosten. Bo-Ex noemt dat ‘ingroei’.</w:t>
      </w:r>
    </w:p>
    <w:p w14:paraId="04C71FCE" w14:textId="62EB78F8" w:rsidR="0031363E" w:rsidRDefault="0031363E" w:rsidP="003E2633">
      <w:r>
        <w:t>Voor de kosten van elektra + verlichting gaat de berekening iets anders, aangezien er sinds eind 202</w:t>
      </w:r>
      <w:r w:rsidR="002B464D">
        <w:t>1</w:t>
      </w:r>
      <w:r>
        <w:t xml:space="preserve"> nog maar 1 stroommeter voor alle collectieve stroom is en dus maar 1 factuur voor de kosten van elektra. De totale kosten voor stroom + verlichting (inclusief BTW en 5% opslag)</w:t>
      </w:r>
      <w:r w:rsidR="00C2741A">
        <w:t xml:space="preserve"> worden eerst gesplitst. 48/84 deel van het totaal is voor de bewoners op de </w:t>
      </w:r>
      <w:r w:rsidR="002E2C3F">
        <w:t>Rembrandtkade</w:t>
      </w:r>
      <w:r w:rsidR="00C2741A">
        <w:t xml:space="preserve"> en 36/84 deel is voor bewoners die op de </w:t>
      </w:r>
      <w:r w:rsidR="002E2C3F">
        <w:t>Albert Neuhuijsstraat</w:t>
      </w:r>
      <w:r w:rsidR="00C2741A">
        <w:t xml:space="preserve"> wonen</w:t>
      </w:r>
      <w:r w:rsidR="00290B07">
        <w:t>.</w:t>
      </w:r>
    </w:p>
    <w:p w14:paraId="6B9A3AB4" w14:textId="06220DA3" w:rsidR="00373768" w:rsidRDefault="00373768" w:rsidP="003E2633">
      <w:r>
        <w:t>Dit betekent dus dat n</w:t>
      </w:r>
      <w:r w:rsidR="001E0560">
        <w:t>á</w:t>
      </w:r>
      <w:r>
        <w:t xml:space="preserve"> de verdeling van de totale stroom</w:t>
      </w:r>
      <w:r w:rsidR="00290B07">
        <w:t>- en verlichtings</w:t>
      </w:r>
      <w:r>
        <w:t xml:space="preserve">kosten over de 2 </w:t>
      </w:r>
      <w:r w:rsidR="0056678D">
        <w:t>clusters</w:t>
      </w:r>
      <w:r w:rsidR="00290B07">
        <w:t>,</w:t>
      </w:r>
      <w:r>
        <w:t xml:space="preserve"> </w:t>
      </w:r>
      <w:r w:rsidR="00B97A02">
        <w:t xml:space="preserve">Bo-Ex vervolgens bepaalt </w:t>
      </w:r>
      <w:r w:rsidR="0056678D">
        <w:t xml:space="preserve">aan hoeveel huurders (ingroei) de kosten kunnen </w:t>
      </w:r>
      <w:r w:rsidR="00B97A02">
        <w:t>worden doorbelast</w:t>
      </w:r>
      <w:r w:rsidR="0056678D">
        <w:t>.</w:t>
      </w:r>
      <w:r w:rsidR="001E0560">
        <w:t xml:space="preserve"> Zijn dat bijvoorbeeld 25 van de 48 </w:t>
      </w:r>
      <w:r w:rsidR="00966167">
        <w:t>woningen</w:t>
      </w:r>
      <w:r w:rsidR="001E0560">
        <w:t xml:space="preserve"> van de </w:t>
      </w:r>
      <w:r w:rsidR="002E2C3F">
        <w:t>Rembrandtkade</w:t>
      </w:r>
      <w:r w:rsidR="001E0560">
        <w:t xml:space="preserve"> dan zijn de kosten voor d</w:t>
      </w:r>
      <w:r w:rsidR="0080049D">
        <w:t>i</w:t>
      </w:r>
      <w:r w:rsidR="001E0560">
        <w:t>e huurders dus 25/48 deel van het totaal en beta</w:t>
      </w:r>
      <w:r w:rsidR="0056678D">
        <w:t>len die huurders</w:t>
      </w:r>
      <w:r w:rsidR="00966167">
        <w:t xml:space="preserve"> van de </w:t>
      </w:r>
      <w:r w:rsidR="002E2C3F">
        <w:t>Rembrandtkade</w:t>
      </w:r>
      <w:r w:rsidR="001E0560">
        <w:t xml:space="preserve"> 1/25 deel daarvan. Uiteindelijk betaalt</w:t>
      </w:r>
      <w:r w:rsidR="00B97A02">
        <w:t xml:space="preserve"> </w:t>
      </w:r>
      <w:r>
        <w:t xml:space="preserve">elke bewoner die krachtens de huurovereenkomst servicekosten </w:t>
      </w:r>
      <w:r w:rsidR="001E0560">
        <w:t>verschuldigd is</w:t>
      </w:r>
      <w:r>
        <w:t xml:space="preserve"> voor elektra</w:t>
      </w:r>
      <w:r w:rsidR="00290B07">
        <w:t xml:space="preserve"> 1/48 deel (</w:t>
      </w:r>
      <w:r w:rsidR="002E2C3F">
        <w:t>Rembrandtkade</w:t>
      </w:r>
      <w:r w:rsidR="00290B07">
        <w:t>) of 1/36 deel (</w:t>
      </w:r>
      <w:r w:rsidR="002E2C3F">
        <w:t>Albert Neuhuijsstraat</w:t>
      </w:r>
      <w:r w:rsidR="00290B07">
        <w:t xml:space="preserve">) </w:t>
      </w:r>
      <w:r w:rsidR="009B1C0A">
        <w:t>van de totale kosten</w:t>
      </w:r>
      <w:r w:rsidR="00FA7B7B">
        <w:t xml:space="preserve"> per c</w:t>
      </w:r>
      <w:r w:rsidR="0056678D">
        <w:t>luster</w:t>
      </w:r>
      <w:r w:rsidR="00290B07">
        <w:t>, net als in het voorbeeld van de schoonmaak.</w:t>
      </w:r>
    </w:p>
    <w:p w14:paraId="2F657520" w14:textId="22990967" w:rsidR="00ED1CBD" w:rsidRDefault="00286F1D" w:rsidP="003E2633">
      <w:pPr>
        <w:rPr>
          <w:b/>
          <w:bCs/>
        </w:rPr>
      </w:pPr>
      <w:r>
        <w:rPr>
          <w:b/>
          <w:bCs/>
        </w:rPr>
        <w:t>V</w:t>
      </w:r>
      <w:r w:rsidR="00117A3B" w:rsidRPr="00117A3B">
        <w:rPr>
          <w:b/>
          <w:bCs/>
        </w:rPr>
        <w:t>oorschotten</w:t>
      </w:r>
      <w:r>
        <w:rPr>
          <w:b/>
          <w:bCs/>
        </w:rPr>
        <w:t xml:space="preserve"> en het aanpassen daarvan</w:t>
      </w:r>
    </w:p>
    <w:p w14:paraId="6299EF0B" w14:textId="4D7C4AE4" w:rsidR="00286F1D" w:rsidRPr="00286F1D" w:rsidRDefault="00286F1D" w:rsidP="003E2633">
      <w:r>
        <w:t>Nadat de servicekosten van een bepaald jaar zijn afgerekend, kunnen ook de nieuwe voorschotten worden vastgesteld</w:t>
      </w:r>
      <w:r w:rsidR="00424695">
        <w:t xml:space="preserve">, bijvoorbeeld vanwege </w:t>
      </w:r>
      <w:r w:rsidR="00DC17A9">
        <w:t xml:space="preserve">een </w:t>
      </w:r>
      <w:r w:rsidR="00424695">
        <w:t xml:space="preserve">te verwachten prijsstijging. Zo wordt voorkomen dat je in die situatie bij de volgende afrekening veel moet bijbetalen. Een nieuw voorschotbedrag mag slechts 1x per jaar worden vastgesteld. </w:t>
      </w:r>
    </w:p>
    <w:p w14:paraId="785471CC" w14:textId="7354EB62" w:rsidR="00ED1CBD" w:rsidRDefault="00ED1CBD" w:rsidP="003E2633">
      <w:pPr>
        <w:rPr>
          <w:b/>
          <w:bCs/>
        </w:rPr>
      </w:pPr>
      <w:r w:rsidRPr="00ED1CBD">
        <w:rPr>
          <w:b/>
          <w:bCs/>
        </w:rPr>
        <w:lastRenderedPageBreak/>
        <w:t xml:space="preserve">Wat </w:t>
      </w:r>
      <w:r w:rsidR="007D5498" w:rsidRPr="00ED1CBD">
        <w:rPr>
          <w:b/>
          <w:bCs/>
        </w:rPr>
        <w:t>er misging</w:t>
      </w:r>
      <w:r w:rsidRPr="00ED1CBD">
        <w:rPr>
          <w:b/>
          <w:bCs/>
        </w:rPr>
        <w:t xml:space="preserve"> bij de afrekening over 2023</w:t>
      </w:r>
    </w:p>
    <w:p w14:paraId="13BBB46C" w14:textId="46CB8197" w:rsidR="00117A3B" w:rsidRDefault="000B2348" w:rsidP="003E2633">
      <w:r w:rsidRPr="000B2348">
        <w:t>De afrekening</w:t>
      </w:r>
      <w:r>
        <w:t xml:space="preserve"> over 2023 </w:t>
      </w:r>
      <w:r w:rsidR="006E6289">
        <w:t>is</w:t>
      </w:r>
      <w:r>
        <w:t xml:space="preserve"> ernstig vertraagd doordat de energiemaatschappij ‘spookfacturen’ van elektra aan de Bo-Ex stuurde, die op de </w:t>
      </w:r>
      <w:r w:rsidR="001B4223">
        <w:t>huurders</w:t>
      </w:r>
      <w:r>
        <w:t xml:space="preserve"> werden verhaald.</w:t>
      </w:r>
    </w:p>
    <w:p w14:paraId="64336299" w14:textId="75FE9232" w:rsidR="000B2348" w:rsidRDefault="000B2348" w:rsidP="003E2633">
      <w:r>
        <w:t>Die facturen hadden betrekking op alle portieken waar vroeger een elektriciteitsmeter zat. In het kader van de grote renovatie in 202</w:t>
      </w:r>
      <w:r w:rsidR="002B464D">
        <w:t>1</w:t>
      </w:r>
      <w:r>
        <w:t xml:space="preserve"> zijn bijna alle </w:t>
      </w:r>
      <w:r w:rsidR="00823E1E">
        <w:t>stroom</w:t>
      </w:r>
      <w:r>
        <w:t xml:space="preserve">meters </w:t>
      </w:r>
      <w:r w:rsidR="009C63BC">
        <w:t>uit</w:t>
      </w:r>
      <w:r w:rsidR="006E6289">
        <w:t xml:space="preserve"> portieken </w:t>
      </w:r>
      <w:r>
        <w:t xml:space="preserve">verwijderd. Maar de meters </w:t>
      </w:r>
      <w:r w:rsidR="00823E1E">
        <w:t>waren</w:t>
      </w:r>
      <w:r>
        <w:t xml:space="preserve"> niet afgemeld</w:t>
      </w:r>
      <w:r w:rsidR="00911A18">
        <w:t xml:space="preserve"> bij het meetbedrijf</w:t>
      </w:r>
      <w:r>
        <w:t xml:space="preserve">, waardoor de facturen doorliepen, gebaseerd op </w:t>
      </w:r>
      <w:r w:rsidRPr="00911A18">
        <w:rPr>
          <w:i/>
          <w:iCs/>
        </w:rPr>
        <w:t>schattingen</w:t>
      </w:r>
      <w:r>
        <w:t xml:space="preserve"> van het stroomverbruik.</w:t>
      </w:r>
    </w:p>
    <w:p w14:paraId="1E597011" w14:textId="5BD7B61F" w:rsidR="00117A3B" w:rsidRDefault="009C63BC" w:rsidP="003E2633">
      <w:pPr>
        <w:rPr>
          <w:b/>
          <w:bCs/>
        </w:rPr>
      </w:pPr>
      <w:r>
        <w:t xml:space="preserve">Hoewel HNW Bo-Ex hiervoor al </w:t>
      </w:r>
      <w:r w:rsidR="00823E1E">
        <w:t>had</w:t>
      </w:r>
      <w:r>
        <w:t xml:space="preserve"> gewaarschuwd bij de afrekening over 2022, zijn de spookfacturen pas </w:t>
      </w:r>
      <w:r w:rsidR="007F0354">
        <w:t>onlangs</w:t>
      </w:r>
      <w:r>
        <w:t xml:space="preserve"> gestopt.</w:t>
      </w:r>
      <w:r w:rsidR="00911A18">
        <w:t xml:space="preserve"> In de afrekening van 2023 </w:t>
      </w:r>
      <w:r w:rsidR="001B4223">
        <w:t xml:space="preserve">(en ook over 2022) </w:t>
      </w:r>
      <w:r w:rsidR="00911A18">
        <w:t xml:space="preserve">zijn uiteindelijk de werkelijke kosten </w:t>
      </w:r>
      <w:r w:rsidR="001B4223">
        <w:t>aan</w:t>
      </w:r>
      <w:r w:rsidR="00911A18">
        <w:t xml:space="preserve"> de bewoners doorbelast. Daar</w:t>
      </w:r>
      <w:r w:rsidR="007F0354">
        <w:t>bij</w:t>
      </w:r>
      <w:r w:rsidR="00911A18">
        <w:t xml:space="preserve"> waren </w:t>
      </w:r>
      <w:r w:rsidR="001B4223">
        <w:t>over 2023, mede door een rekenfout,</w:t>
      </w:r>
      <w:r w:rsidR="00911A18">
        <w:t xml:space="preserve"> een tweetal </w:t>
      </w:r>
      <w:r w:rsidR="007D5498">
        <w:t>correcties</w:t>
      </w:r>
      <w:r w:rsidR="00911A18">
        <w:t xml:space="preserve"> nodig.</w:t>
      </w:r>
      <w:r w:rsidR="006701A9">
        <w:t xml:space="preserve"> Inmiddels hebben deze correcties plaatsgevonden.</w:t>
      </w:r>
    </w:p>
    <w:sectPr w:rsidR="00117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70BE"/>
    <w:multiLevelType w:val="hybridMultilevel"/>
    <w:tmpl w:val="12B85F68"/>
    <w:lvl w:ilvl="0" w:tplc="DC20621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5C7C43"/>
    <w:multiLevelType w:val="hybridMultilevel"/>
    <w:tmpl w:val="791ED1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C420187"/>
    <w:multiLevelType w:val="hybridMultilevel"/>
    <w:tmpl w:val="15DC08E4"/>
    <w:lvl w:ilvl="0" w:tplc="4CD61FA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3535548">
    <w:abstractNumId w:val="1"/>
  </w:num>
  <w:num w:numId="2" w16cid:durableId="569384911">
    <w:abstractNumId w:val="0"/>
  </w:num>
  <w:num w:numId="3" w16cid:durableId="213247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07"/>
    <w:rsid w:val="00007847"/>
    <w:rsid w:val="0001539A"/>
    <w:rsid w:val="000354CF"/>
    <w:rsid w:val="00067D94"/>
    <w:rsid w:val="000B2348"/>
    <w:rsid w:val="000B39E8"/>
    <w:rsid w:val="000B79BF"/>
    <w:rsid w:val="000D2637"/>
    <w:rsid w:val="00102067"/>
    <w:rsid w:val="00117A3B"/>
    <w:rsid w:val="001273EC"/>
    <w:rsid w:val="001B4223"/>
    <w:rsid w:val="001C07B6"/>
    <w:rsid w:val="001D7BE8"/>
    <w:rsid w:val="001E0560"/>
    <w:rsid w:val="00247450"/>
    <w:rsid w:val="00257219"/>
    <w:rsid w:val="002841F9"/>
    <w:rsid w:val="00286F1D"/>
    <w:rsid w:val="00290B07"/>
    <w:rsid w:val="002B464D"/>
    <w:rsid w:val="002D2D32"/>
    <w:rsid w:val="002E2C3F"/>
    <w:rsid w:val="002E750D"/>
    <w:rsid w:val="00302D65"/>
    <w:rsid w:val="0031363E"/>
    <w:rsid w:val="00323153"/>
    <w:rsid w:val="00325ECB"/>
    <w:rsid w:val="003409EA"/>
    <w:rsid w:val="00373768"/>
    <w:rsid w:val="003753ED"/>
    <w:rsid w:val="003E2633"/>
    <w:rsid w:val="00424695"/>
    <w:rsid w:val="00471715"/>
    <w:rsid w:val="004C5F75"/>
    <w:rsid w:val="00511319"/>
    <w:rsid w:val="005346F0"/>
    <w:rsid w:val="0054153F"/>
    <w:rsid w:val="005463D4"/>
    <w:rsid w:val="0056678D"/>
    <w:rsid w:val="00581DFA"/>
    <w:rsid w:val="0060239B"/>
    <w:rsid w:val="00613DBF"/>
    <w:rsid w:val="006431DC"/>
    <w:rsid w:val="006701A9"/>
    <w:rsid w:val="006B0F65"/>
    <w:rsid w:val="006E6289"/>
    <w:rsid w:val="006F1F07"/>
    <w:rsid w:val="00700C2B"/>
    <w:rsid w:val="00736740"/>
    <w:rsid w:val="00752DF9"/>
    <w:rsid w:val="00762612"/>
    <w:rsid w:val="00792DB3"/>
    <w:rsid w:val="007A7607"/>
    <w:rsid w:val="007D5498"/>
    <w:rsid w:val="007F0354"/>
    <w:rsid w:val="0080049D"/>
    <w:rsid w:val="00802E31"/>
    <w:rsid w:val="00823E1E"/>
    <w:rsid w:val="008C5C14"/>
    <w:rsid w:val="008F6978"/>
    <w:rsid w:val="00911A18"/>
    <w:rsid w:val="00941975"/>
    <w:rsid w:val="00966167"/>
    <w:rsid w:val="00982E15"/>
    <w:rsid w:val="009B1C0A"/>
    <w:rsid w:val="009C63BC"/>
    <w:rsid w:val="009E5736"/>
    <w:rsid w:val="009F1C95"/>
    <w:rsid w:val="009F496E"/>
    <w:rsid w:val="00A11B66"/>
    <w:rsid w:val="00A326EA"/>
    <w:rsid w:val="00A42C47"/>
    <w:rsid w:val="00AC2D2F"/>
    <w:rsid w:val="00AC63B0"/>
    <w:rsid w:val="00AD721F"/>
    <w:rsid w:val="00B95F4D"/>
    <w:rsid w:val="00B97A02"/>
    <w:rsid w:val="00C127E2"/>
    <w:rsid w:val="00C21A3B"/>
    <w:rsid w:val="00C23164"/>
    <w:rsid w:val="00C24211"/>
    <w:rsid w:val="00C249C1"/>
    <w:rsid w:val="00C2741A"/>
    <w:rsid w:val="00C37AAD"/>
    <w:rsid w:val="00C453A6"/>
    <w:rsid w:val="00CA647A"/>
    <w:rsid w:val="00D24A7F"/>
    <w:rsid w:val="00D85BBA"/>
    <w:rsid w:val="00D94A9E"/>
    <w:rsid w:val="00DC17A9"/>
    <w:rsid w:val="00E87436"/>
    <w:rsid w:val="00E970B0"/>
    <w:rsid w:val="00ED1CBD"/>
    <w:rsid w:val="00EF12FD"/>
    <w:rsid w:val="00F50BC9"/>
    <w:rsid w:val="00F51395"/>
    <w:rsid w:val="00F64967"/>
    <w:rsid w:val="00F80C60"/>
    <w:rsid w:val="00F82665"/>
    <w:rsid w:val="00FA1A9C"/>
    <w:rsid w:val="00FA7B7B"/>
    <w:rsid w:val="00FB5558"/>
    <w:rsid w:val="00FF6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5EBD"/>
  <w15:chartTrackingRefBased/>
  <w15:docId w15:val="{6887E9E2-C8AB-4852-86A3-AD62F1CF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1F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F1F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F1F0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F1F0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F1F0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F1F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F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F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F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F0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F1F0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F1F0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F1F0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F1F0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F1F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F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F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F07"/>
    <w:rPr>
      <w:rFonts w:eastAsiaTheme="majorEastAsia" w:cstheme="majorBidi"/>
      <w:color w:val="272727" w:themeColor="text1" w:themeTint="D8"/>
    </w:rPr>
  </w:style>
  <w:style w:type="paragraph" w:styleId="Titel">
    <w:name w:val="Title"/>
    <w:basedOn w:val="Standaard"/>
    <w:next w:val="Standaard"/>
    <w:link w:val="TitelChar"/>
    <w:uiPriority w:val="10"/>
    <w:qFormat/>
    <w:rsid w:val="006F1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F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F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F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F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F07"/>
    <w:rPr>
      <w:i/>
      <w:iCs/>
      <w:color w:val="404040" w:themeColor="text1" w:themeTint="BF"/>
    </w:rPr>
  </w:style>
  <w:style w:type="paragraph" w:styleId="Lijstalinea">
    <w:name w:val="List Paragraph"/>
    <w:basedOn w:val="Standaard"/>
    <w:uiPriority w:val="34"/>
    <w:qFormat/>
    <w:rsid w:val="006F1F07"/>
    <w:pPr>
      <w:ind w:left="720"/>
      <w:contextualSpacing/>
    </w:pPr>
  </w:style>
  <w:style w:type="character" w:styleId="Intensievebenadrukking">
    <w:name w:val="Intense Emphasis"/>
    <w:basedOn w:val="Standaardalinea-lettertype"/>
    <w:uiPriority w:val="21"/>
    <w:qFormat/>
    <w:rsid w:val="006F1F07"/>
    <w:rPr>
      <w:i/>
      <w:iCs/>
      <w:color w:val="2F5496" w:themeColor="accent1" w:themeShade="BF"/>
    </w:rPr>
  </w:style>
  <w:style w:type="paragraph" w:styleId="Duidelijkcitaat">
    <w:name w:val="Intense Quote"/>
    <w:basedOn w:val="Standaard"/>
    <w:next w:val="Standaard"/>
    <w:link w:val="DuidelijkcitaatChar"/>
    <w:uiPriority w:val="30"/>
    <w:qFormat/>
    <w:rsid w:val="006F1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F1F07"/>
    <w:rPr>
      <w:i/>
      <w:iCs/>
      <w:color w:val="2F5496" w:themeColor="accent1" w:themeShade="BF"/>
    </w:rPr>
  </w:style>
  <w:style w:type="character" w:styleId="Intensieveverwijzing">
    <w:name w:val="Intense Reference"/>
    <w:basedOn w:val="Standaardalinea-lettertype"/>
    <w:uiPriority w:val="32"/>
    <w:qFormat/>
    <w:rsid w:val="006F1F07"/>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C127E2"/>
    <w:rPr>
      <w:sz w:val="16"/>
      <w:szCs w:val="16"/>
    </w:rPr>
  </w:style>
  <w:style w:type="paragraph" w:styleId="Tekstopmerking">
    <w:name w:val="annotation text"/>
    <w:basedOn w:val="Standaard"/>
    <w:link w:val="TekstopmerkingChar"/>
    <w:uiPriority w:val="99"/>
    <w:semiHidden/>
    <w:unhideWhenUsed/>
    <w:rsid w:val="00C127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27E2"/>
    <w:rPr>
      <w:sz w:val="20"/>
      <w:szCs w:val="20"/>
    </w:rPr>
  </w:style>
  <w:style w:type="paragraph" w:styleId="Onderwerpvanopmerking">
    <w:name w:val="annotation subject"/>
    <w:basedOn w:val="Tekstopmerking"/>
    <w:next w:val="Tekstopmerking"/>
    <w:link w:val="OnderwerpvanopmerkingChar"/>
    <w:uiPriority w:val="99"/>
    <w:semiHidden/>
    <w:unhideWhenUsed/>
    <w:rsid w:val="00C127E2"/>
    <w:rPr>
      <w:b/>
      <w:bCs/>
    </w:rPr>
  </w:style>
  <w:style w:type="character" w:customStyle="1" w:styleId="OnderwerpvanopmerkingChar">
    <w:name w:val="Onderwerp van opmerking Char"/>
    <w:basedOn w:val="TekstopmerkingChar"/>
    <w:link w:val="Onderwerpvanopmerking"/>
    <w:uiPriority w:val="99"/>
    <w:semiHidden/>
    <w:rsid w:val="00C127E2"/>
    <w:rPr>
      <w:b/>
      <w:bCs/>
      <w:sz w:val="20"/>
      <w:szCs w:val="20"/>
    </w:rPr>
  </w:style>
  <w:style w:type="character" w:styleId="Hyperlink">
    <w:name w:val="Hyperlink"/>
    <w:basedOn w:val="Standaardalinea-lettertype"/>
    <w:uiPriority w:val="99"/>
    <w:unhideWhenUsed/>
    <w:rsid w:val="00302D65"/>
    <w:rPr>
      <w:color w:val="0563C1" w:themeColor="hyperlink"/>
      <w:u w:val="single"/>
    </w:rPr>
  </w:style>
  <w:style w:type="character" w:styleId="Onopgelostemelding">
    <w:name w:val="Unresolved Mention"/>
    <w:basedOn w:val="Standaardalinea-lettertype"/>
    <w:uiPriority w:val="99"/>
    <w:semiHidden/>
    <w:unhideWhenUsed/>
    <w:rsid w:val="00302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D3ACF-1ED7-45DB-B259-2FF9BF9E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1458</Words>
  <Characters>8019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dc:creator>
  <cp:keywords/>
  <dc:description/>
  <cp:lastModifiedBy>ADR</cp:lastModifiedBy>
  <cp:revision>4</cp:revision>
  <dcterms:created xsi:type="dcterms:W3CDTF">2025-06-05T12:09:00Z</dcterms:created>
  <dcterms:modified xsi:type="dcterms:W3CDTF">2025-06-05T12:34:00Z</dcterms:modified>
</cp:coreProperties>
</file>